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D81" w:rsidRDefault="00A42D81" w:rsidP="00A42D81">
      <w:pPr>
        <w:autoSpaceDE w:val="0"/>
        <w:autoSpaceDN w:val="0"/>
        <w:adjustRightInd w:val="0"/>
        <w:spacing w:after="0" w:line="240" w:lineRule="auto"/>
        <w:jc w:val="both"/>
        <w:rPr>
          <w:rFonts w:ascii="Arial" w:hAnsi="Arial" w:cs="Arial"/>
          <w:color w:val="231F20"/>
          <w:sz w:val="24"/>
          <w:szCs w:val="24"/>
        </w:rPr>
      </w:pPr>
      <w:r w:rsidRPr="00A42D81">
        <w:rPr>
          <w:rFonts w:ascii="Arial" w:hAnsi="Arial" w:cs="Arial"/>
          <w:color w:val="231F20"/>
          <w:sz w:val="24"/>
          <w:szCs w:val="24"/>
        </w:rPr>
        <w:t xml:space="preserve">In section 32AC of the Income-tax Act, with effect from the </w:t>
      </w:r>
      <w:r w:rsidRPr="00A42D81">
        <w:rPr>
          <w:rFonts w:ascii="Arial" w:hAnsi="Arial" w:cs="Arial"/>
          <w:b/>
          <w:color w:val="231F20"/>
          <w:sz w:val="24"/>
          <w:szCs w:val="24"/>
        </w:rPr>
        <w:t>1st day of April, 2015</w:t>
      </w:r>
      <w:r w:rsidRPr="00A42D81">
        <w:rPr>
          <w:rFonts w:ascii="Arial" w:hAnsi="Arial" w:cs="Arial"/>
          <w:color w:val="231F20"/>
          <w:sz w:val="24"/>
          <w:szCs w:val="24"/>
        </w:rPr>
        <w:t>,—</w:t>
      </w:r>
    </w:p>
    <w:p w:rsidR="00A42D81" w:rsidRPr="00A42D81" w:rsidRDefault="00A42D81" w:rsidP="00A42D81">
      <w:pPr>
        <w:autoSpaceDE w:val="0"/>
        <w:autoSpaceDN w:val="0"/>
        <w:adjustRightInd w:val="0"/>
        <w:spacing w:after="0" w:line="240" w:lineRule="auto"/>
        <w:jc w:val="both"/>
        <w:rPr>
          <w:rFonts w:ascii="Arial" w:hAnsi="Arial" w:cs="Arial"/>
          <w:color w:val="231F20"/>
          <w:sz w:val="24"/>
          <w:szCs w:val="24"/>
        </w:rPr>
      </w:pPr>
    </w:p>
    <w:p w:rsidR="00A42D81" w:rsidRPr="00A42D81" w:rsidRDefault="00A42D81" w:rsidP="00A42D81">
      <w:pPr>
        <w:autoSpaceDE w:val="0"/>
        <w:autoSpaceDN w:val="0"/>
        <w:adjustRightInd w:val="0"/>
        <w:spacing w:after="0" w:line="240" w:lineRule="auto"/>
        <w:jc w:val="both"/>
        <w:rPr>
          <w:rFonts w:ascii="Arial" w:hAnsi="Arial" w:cs="Arial"/>
          <w:color w:val="231F20"/>
          <w:sz w:val="24"/>
          <w:szCs w:val="24"/>
        </w:rPr>
      </w:pPr>
      <w:r w:rsidRPr="00A42D81">
        <w:rPr>
          <w:rFonts w:ascii="Arial" w:hAnsi="Arial" w:cs="Arial"/>
          <w:color w:val="231F20"/>
          <w:sz w:val="24"/>
          <w:szCs w:val="24"/>
        </w:rPr>
        <w:t>(</w:t>
      </w:r>
      <w:proofErr w:type="spellStart"/>
      <w:r w:rsidRPr="00A42D81">
        <w:rPr>
          <w:rFonts w:ascii="Arial" w:hAnsi="Arial" w:cs="Arial"/>
          <w:i/>
          <w:iCs/>
          <w:color w:val="231F20"/>
          <w:sz w:val="24"/>
          <w:szCs w:val="24"/>
        </w:rPr>
        <w:t>i</w:t>
      </w:r>
      <w:proofErr w:type="spellEnd"/>
      <w:r w:rsidRPr="00A42D81">
        <w:rPr>
          <w:rFonts w:ascii="Arial" w:hAnsi="Arial" w:cs="Arial"/>
          <w:color w:val="231F20"/>
          <w:sz w:val="24"/>
          <w:szCs w:val="24"/>
        </w:rPr>
        <w:t xml:space="preserve">) </w:t>
      </w:r>
      <w:proofErr w:type="gramStart"/>
      <w:r w:rsidRPr="00A42D81">
        <w:rPr>
          <w:rFonts w:ascii="Arial" w:hAnsi="Arial" w:cs="Arial"/>
          <w:color w:val="231F20"/>
          <w:sz w:val="24"/>
          <w:szCs w:val="24"/>
        </w:rPr>
        <w:t>after</w:t>
      </w:r>
      <w:proofErr w:type="gramEnd"/>
      <w:r w:rsidRPr="00A42D81">
        <w:rPr>
          <w:rFonts w:ascii="Arial" w:hAnsi="Arial" w:cs="Arial"/>
          <w:color w:val="231F20"/>
          <w:sz w:val="24"/>
          <w:szCs w:val="24"/>
        </w:rPr>
        <w:t xml:space="preserve"> sub-section (</w:t>
      </w:r>
      <w:r w:rsidRPr="00A42D81">
        <w:rPr>
          <w:rFonts w:ascii="Arial" w:hAnsi="Arial" w:cs="Arial"/>
          <w:i/>
          <w:iCs/>
          <w:color w:val="231F20"/>
          <w:sz w:val="24"/>
          <w:szCs w:val="24"/>
        </w:rPr>
        <w:t>1</w:t>
      </w:r>
      <w:r w:rsidRPr="00A42D81">
        <w:rPr>
          <w:rFonts w:ascii="Arial" w:hAnsi="Arial" w:cs="Arial"/>
          <w:color w:val="231F20"/>
          <w:sz w:val="24"/>
          <w:szCs w:val="24"/>
        </w:rPr>
        <w:t>), the following sub-sections shall be inserted, namely:—</w:t>
      </w:r>
    </w:p>
    <w:p w:rsidR="00A42D81" w:rsidRDefault="00A42D81" w:rsidP="00A42D81">
      <w:pPr>
        <w:autoSpaceDE w:val="0"/>
        <w:autoSpaceDN w:val="0"/>
        <w:adjustRightInd w:val="0"/>
        <w:spacing w:after="0" w:line="240" w:lineRule="auto"/>
        <w:jc w:val="both"/>
        <w:rPr>
          <w:rFonts w:ascii="Arial" w:hAnsi="Arial" w:cs="Arial"/>
          <w:color w:val="231F20"/>
          <w:sz w:val="24"/>
          <w:szCs w:val="24"/>
        </w:rPr>
      </w:pPr>
      <w:r w:rsidRPr="00A42D81">
        <w:rPr>
          <w:rFonts w:ascii="Arial" w:hAnsi="Arial" w:cs="Arial"/>
          <w:b/>
          <w:color w:val="231F20"/>
          <w:sz w:val="24"/>
          <w:szCs w:val="24"/>
        </w:rPr>
        <w:t>“(</w:t>
      </w:r>
      <w:r w:rsidRPr="00A42D81">
        <w:rPr>
          <w:rFonts w:ascii="Arial" w:hAnsi="Arial" w:cs="Arial"/>
          <w:b/>
          <w:i/>
          <w:iCs/>
          <w:color w:val="231F20"/>
          <w:sz w:val="24"/>
          <w:szCs w:val="24"/>
        </w:rPr>
        <w:t>1A</w:t>
      </w:r>
      <w:r w:rsidRPr="00A42D81">
        <w:rPr>
          <w:rFonts w:ascii="Arial" w:hAnsi="Arial" w:cs="Arial"/>
          <w:b/>
          <w:color w:val="231F20"/>
          <w:sz w:val="24"/>
          <w:szCs w:val="24"/>
        </w:rPr>
        <w:t>)</w:t>
      </w:r>
      <w:r w:rsidRPr="00A42D81">
        <w:rPr>
          <w:rFonts w:ascii="Arial" w:hAnsi="Arial" w:cs="Arial"/>
          <w:color w:val="231F20"/>
          <w:sz w:val="24"/>
          <w:szCs w:val="24"/>
        </w:rPr>
        <w:t xml:space="preserve"> Where an </w:t>
      </w:r>
      <w:proofErr w:type="spellStart"/>
      <w:r w:rsidRPr="00A42D81">
        <w:rPr>
          <w:rFonts w:ascii="Arial" w:hAnsi="Arial" w:cs="Arial"/>
          <w:color w:val="231F20"/>
          <w:sz w:val="24"/>
          <w:szCs w:val="24"/>
        </w:rPr>
        <w:t>assessee</w:t>
      </w:r>
      <w:proofErr w:type="spellEnd"/>
      <w:r w:rsidRPr="00A42D81">
        <w:rPr>
          <w:rFonts w:ascii="Arial" w:hAnsi="Arial" w:cs="Arial"/>
          <w:color w:val="231F20"/>
          <w:sz w:val="24"/>
          <w:szCs w:val="24"/>
        </w:rPr>
        <w:t>, being a company, engaged in the business of manufacture or</w:t>
      </w:r>
      <w:r>
        <w:rPr>
          <w:rFonts w:ascii="Arial" w:hAnsi="Arial" w:cs="Arial"/>
          <w:color w:val="231F20"/>
          <w:sz w:val="24"/>
          <w:szCs w:val="24"/>
        </w:rPr>
        <w:t xml:space="preserve"> </w:t>
      </w:r>
      <w:r w:rsidRPr="00A42D81">
        <w:rPr>
          <w:rFonts w:ascii="Arial" w:hAnsi="Arial" w:cs="Arial"/>
          <w:color w:val="231F20"/>
          <w:sz w:val="24"/>
          <w:szCs w:val="24"/>
        </w:rPr>
        <w:t>production of any article or thing, acquires and installs new assets and the amount of actual cost</w:t>
      </w:r>
      <w:r>
        <w:rPr>
          <w:rFonts w:ascii="Arial" w:hAnsi="Arial" w:cs="Arial"/>
          <w:color w:val="231F20"/>
          <w:sz w:val="24"/>
          <w:szCs w:val="24"/>
        </w:rPr>
        <w:t xml:space="preserve"> </w:t>
      </w:r>
      <w:r w:rsidRPr="00A42D81">
        <w:rPr>
          <w:rFonts w:ascii="Arial" w:hAnsi="Arial" w:cs="Arial"/>
          <w:color w:val="231F20"/>
          <w:sz w:val="24"/>
          <w:szCs w:val="24"/>
        </w:rPr>
        <w:t xml:space="preserve">of such new assets acquired and installed during any previous year </w:t>
      </w:r>
      <w:r w:rsidRPr="00A42D81">
        <w:rPr>
          <w:rFonts w:ascii="Arial" w:hAnsi="Arial" w:cs="Arial"/>
          <w:b/>
          <w:color w:val="231F20"/>
          <w:sz w:val="24"/>
          <w:szCs w:val="24"/>
        </w:rPr>
        <w:t xml:space="preserve">exceeds twenty-five </w:t>
      </w:r>
      <w:proofErr w:type="spellStart"/>
      <w:r w:rsidRPr="00A42D81">
        <w:rPr>
          <w:rFonts w:ascii="Arial" w:hAnsi="Arial" w:cs="Arial"/>
          <w:b/>
          <w:color w:val="231F20"/>
          <w:sz w:val="24"/>
          <w:szCs w:val="24"/>
        </w:rPr>
        <w:t>crore</w:t>
      </w:r>
      <w:proofErr w:type="spellEnd"/>
      <w:r w:rsidRPr="00A42D81">
        <w:rPr>
          <w:rFonts w:ascii="Arial" w:hAnsi="Arial" w:cs="Arial"/>
          <w:b/>
          <w:color w:val="231F20"/>
          <w:sz w:val="24"/>
          <w:szCs w:val="24"/>
        </w:rPr>
        <w:t xml:space="preserve"> rupees</w:t>
      </w:r>
      <w:r w:rsidRPr="00A42D81">
        <w:rPr>
          <w:rFonts w:ascii="Arial" w:hAnsi="Arial" w:cs="Arial"/>
          <w:color w:val="231F20"/>
          <w:sz w:val="24"/>
          <w:szCs w:val="24"/>
        </w:rPr>
        <w:t xml:space="preserve">, then, there shall be allowed a deduction of a sum equal to </w:t>
      </w:r>
      <w:r w:rsidRPr="00A42D81">
        <w:rPr>
          <w:rFonts w:ascii="Arial" w:hAnsi="Arial" w:cs="Arial"/>
          <w:color w:val="231F20"/>
          <w:sz w:val="24"/>
          <w:szCs w:val="24"/>
          <w:u w:val="single"/>
        </w:rPr>
        <w:t>fifteen per cent</w:t>
      </w:r>
      <w:r w:rsidRPr="00A42D81">
        <w:rPr>
          <w:rFonts w:ascii="Arial" w:hAnsi="Arial" w:cs="Arial"/>
          <w:color w:val="231F20"/>
          <w:sz w:val="24"/>
          <w:szCs w:val="24"/>
        </w:rPr>
        <w:t xml:space="preserve"> of the actual</w:t>
      </w:r>
      <w:r>
        <w:rPr>
          <w:rFonts w:ascii="Arial" w:hAnsi="Arial" w:cs="Arial"/>
          <w:color w:val="231F20"/>
          <w:sz w:val="24"/>
          <w:szCs w:val="24"/>
        </w:rPr>
        <w:t xml:space="preserve"> </w:t>
      </w:r>
      <w:r w:rsidRPr="00A42D81">
        <w:rPr>
          <w:rFonts w:ascii="Arial" w:hAnsi="Arial" w:cs="Arial"/>
          <w:color w:val="231F20"/>
          <w:sz w:val="24"/>
          <w:szCs w:val="24"/>
        </w:rPr>
        <w:t>cost of such new assets for the assessment year relevant to that previous year:</w:t>
      </w:r>
    </w:p>
    <w:p w:rsidR="00A42D81" w:rsidRPr="00A42D81" w:rsidRDefault="00A42D81" w:rsidP="00A42D81">
      <w:pPr>
        <w:autoSpaceDE w:val="0"/>
        <w:autoSpaceDN w:val="0"/>
        <w:adjustRightInd w:val="0"/>
        <w:spacing w:after="0" w:line="240" w:lineRule="auto"/>
        <w:jc w:val="both"/>
        <w:rPr>
          <w:rFonts w:ascii="Arial" w:hAnsi="Arial" w:cs="Arial"/>
          <w:color w:val="231F20"/>
          <w:sz w:val="24"/>
          <w:szCs w:val="24"/>
        </w:rPr>
      </w:pPr>
    </w:p>
    <w:p w:rsidR="00A42D81" w:rsidRPr="00A42D81" w:rsidRDefault="00A42D81" w:rsidP="00A42D81">
      <w:pPr>
        <w:autoSpaceDE w:val="0"/>
        <w:autoSpaceDN w:val="0"/>
        <w:adjustRightInd w:val="0"/>
        <w:spacing w:after="0" w:line="240" w:lineRule="auto"/>
        <w:jc w:val="both"/>
        <w:rPr>
          <w:rFonts w:ascii="Arial" w:hAnsi="Arial" w:cs="Arial"/>
          <w:b/>
          <w:color w:val="231F20"/>
          <w:sz w:val="24"/>
          <w:szCs w:val="24"/>
        </w:rPr>
      </w:pPr>
      <w:r w:rsidRPr="00A42D81">
        <w:rPr>
          <w:rFonts w:ascii="Arial" w:hAnsi="Arial" w:cs="Arial"/>
          <w:b/>
          <w:color w:val="231F20"/>
          <w:sz w:val="24"/>
          <w:szCs w:val="24"/>
        </w:rPr>
        <w:t xml:space="preserve">Provided that no deduction under this sub-section shall be allowed for the assessment year commencing on the 1st day of April, 2015 to the </w:t>
      </w:r>
      <w:proofErr w:type="spellStart"/>
      <w:r w:rsidRPr="00A42D81">
        <w:rPr>
          <w:rFonts w:ascii="Arial" w:hAnsi="Arial" w:cs="Arial"/>
          <w:b/>
          <w:color w:val="231F20"/>
          <w:sz w:val="24"/>
          <w:szCs w:val="24"/>
        </w:rPr>
        <w:t>assessee</w:t>
      </w:r>
      <w:proofErr w:type="spellEnd"/>
      <w:r w:rsidRPr="00A42D81">
        <w:rPr>
          <w:rFonts w:ascii="Arial" w:hAnsi="Arial" w:cs="Arial"/>
          <w:b/>
          <w:color w:val="231F20"/>
          <w:sz w:val="24"/>
          <w:szCs w:val="24"/>
        </w:rPr>
        <w:t>, which is eligible to claim deduction under sub-section (</w:t>
      </w:r>
      <w:r w:rsidRPr="00A42D81">
        <w:rPr>
          <w:rFonts w:ascii="Arial" w:hAnsi="Arial" w:cs="Arial"/>
          <w:b/>
          <w:i/>
          <w:iCs/>
          <w:color w:val="231F20"/>
          <w:sz w:val="24"/>
          <w:szCs w:val="24"/>
        </w:rPr>
        <w:t>1</w:t>
      </w:r>
      <w:r w:rsidRPr="00A42D81">
        <w:rPr>
          <w:rFonts w:ascii="Arial" w:hAnsi="Arial" w:cs="Arial"/>
          <w:b/>
          <w:color w:val="231F20"/>
          <w:sz w:val="24"/>
          <w:szCs w:val="24"/>
        </w:rPr>
        <w:t>) for the said assessment year.</w:t>
      </w:r>
    </w:p>
    <w:p w:rsidR="00A42D81" w:rsidRDefault="00A42D81" w:rsidP="00A42D81">
      <w:pPr>
        <w:autoSpaceDE w:val="0"/>
        <w:autoSpaceDN w:val="0"/>
        <w:adjustRightInd w:val="0"/>
        <w:spacing w:after="0" w:line="240" w:lineRule="auto"/>
        <w:jc w:val="both"/>
        <w:rPr>
          <w:rFonts w:ascii="Arial" w:hAnsi="Arial" w:cs="Arial"/>
          <w:color w:val="231F20"/>
          <w:sz w:val="24"/>
          <w:szCs w:val="24"/>
        </w:rPr>
      </w:pPr>
    </w:p>
    <w:p w:rsidR="00A42D81" w:rsidRPr="00A42D81" w:rsidRDefault="00A42D81" w:rsidP="00A42D81">
      <w:pPr>
        <w:autoSpaceDE w:val="0"/>
        <w:autoSpaceDN w:val="0"/>
        <w:adjustRightInd w:val="0"/>
        <w:spacing w:after="0" w:line="240" w:lineRule="auto"/>
        <w:jc w:val="both"/>
        <w:rPr>
          <w:rFonts w:ascii="Arial" w:hAnsi="Arial" w:cs="Arial"/>
          <w:b/>
          <w:color w:val="231F20"/>
          <w:sz w:val="24"/>
          <w:szCs w:val="24"/>
        </w:rPr>
      </w:pPr>
      <w:r w:rsidRPr="00A42D81">
        <w:rPr>
          <w:rFonts w:ascii="Arial" w:hAnsi="Arial" w:cs="Arial"/>
          <w:b/>
          <w:color w:val="231F20"/>
          <w:sz w:val="24"/>
          <w:szCs w:val="24"/>
        </w:rPr>
        <w:t>(</w:t>
      </w:r>
      <w:r w:rsidRPr="00A42D81">
        <w:rPr>
          <w:rFonts w:ascii="Arial" w:hAnsi="Arial" w:cs="Arial"/>
          <w:b/>
          <w:i/>
          <w:iCs/>
          <w:color w:val="231F20"/>
          <w:sz w:val="24"/>
          <w:szCs w:val="24"/>
        </w:rPr>
        <w:t>1B</w:t>
      </w:r>
      <w:r w:rsidRPr="00A42D81">
        <w:rPr>
          <w:rFonts w:ascii="Arial" w:hAnsi="Arial" w:cs="Arial"/>
          <w:b/>
          <w:color w:val="231F20"/>
          <w:sz w:val="24"/>
          <w:szCs w:val="24"/>
        </w:rPr>
        <w:t>) No deduction under sub-section (</w:t>
      </w:r>
      <w:r w:rsidRPr="00A42D81">
        <w:rPr>
          <w:rFonts w:ascii="Arial" w:hAnsi="Arial" w:cs="Arial"/>
          <w:b/>
          <w:i/>
          <w:iCs/>
          <w:color w:val="231F20"/>
          <w:sz w:val="24"/>
          <w:szCs w:val="24"/>
        </w:rPr>
        <w:t>1A</w:t>
      </w:r>
      <w:r w:rsidRPr="00A42D81">
        <w:rPr>
          <w:rFonts w:ascii="Arial" w:hAnsi="Arial" w:cs="Arial"/>
          <w:b/>
          <w:color w:val="231F20"/>
          <w:sz w:val="24"/>
          <w:szCs w:val="24"/>
        </w:rPr>
        <w:t>) shall be allowed for any assessment year commencing on or after the 1st day of April, 2018.</w:t>
      </w:r>
      <w:proofErr w:type="gramStart"/>
      <w:r w:rsidRPr="00A42D81">
        <w:rPr>
          <w:rFonts w:ascii="Arial" w:hAnsi="Arial" w:cs="Arial"/>
          <w:b/>
          <w:color w:val="231F20"/>
          <w:sz w:val="24"/>
          <w:szCs w:val="24"/>
        </w:rPr>
        <w:t>”;</w:t>
      </w:r>
      <w:proofErr w:type="gramEnd"/>
    </w:p>
    <w:p w:rsidR="00A42D81" w:rsidRDefault="00A42D81" w:rsidP="00A42D81">
      <w:pPr>
        <w:autoSpaceDE w:val="0"/>
        <w:autoSpaceDN w:val="0"/>
        <w:adjustRightInd w:val="0"/>
        <w:spacing w:after="0" w:line="240" w:lineRule="auto"/>
        <w:jc w:val="both"/>
        <w:rPr>
          <w:rFonts w:ascii="Arial" w:hAnsi="Arial" w:cs="Arial"/>
          <w:color w:val="231F20"/>
          <w:sz w:val="24"/>
          <w:szCs w:val="24"/>
        </w:rPr>
      </w:pPr>
    </w:p>
    <w:p w:rsidR="005015BD" w:rsidRDefault="00A42D81" w:rsidP="00A42D81">
      <w:pPr>
        <w:autoSpaceDE w:val="0"/>
        <w:autoSpaceDN w:val="0"/>
        <w:adjustRightInd w:val="0"/>
        <w:spacing w:after="0" w:line="240" w:lineRule="auto"/>
        <w:jc w:val="both"/>
        <w:rPr>
          <w:rFonts w:ascii="Arial" w:hAnsi="Arial" w:cs="Arial"/>
          <w:color w:val="231F20"/>
          <w:sz w:val="24"/>
          <w:szCs w:val="24"/>
        </w:rPr>
      </w:pPr>
      <w:r w:rsidRPr="00A42D81">
        <w:rPr>
          <w:rFonts w:ascii="Arial" w:hAnsi="Arial" w:cs="Arial"/>
          <w:color w:val="231F20"/>
          <w:sz w:val="24"/>
          <w:szCs w:val="24"/>
        </w:rPr>
        <w:t>(</w:t>
      </w:r>
      <w:r w:rsidRPr="00A42D81">
        <w:rPr>
          <w:rFonts w:ascii="Arial" w:hAnsi="Arial" w:cs="Arial"/>
          <w:i/>
          <w:iCs/>
          <w:color w:val="231F20"/>
          <w:sz w:val="24"/>
          <w:szCs w:val="24"/>
        </w:rPr>
        <w:t>ii</w:t>
      </w:r>
      <w:r w:rsidRPr="00A42D81">
        <w:rPr>
          <w:rFonts w:ascii="Arial" w:hAnsi="Arial" w:cs="Arial"/>
          <w:color w:val="231F20"/>
          <w:sz w:val="24"/>
          <w:szCs w:val="24"/>
        </w:rPr>
        <w:t>) in sub-section (</w:t>
      </w:r>
      <w:r w:rsidRPr="00A42D81">
        <w:rPr>
          <w:rFonts w:ascii="Arial" w:hAnsi="Arial" w:cs="Arial"/>
          <w:i/>
          <w:iCs/>
          <w:color w:val="231F20"/>
          <w:sz w:val="24"/>
          <w:szCs w:val="24"/>
        </w:rPr>
        <w:t>2</w:t>
      </w:r>
      <w:r w:rsidRPr="00A42D81">
        <w:rPr>
          <w:rFonts w:ascii="Arial" w:hAnsi="Arial" w:cs="Arial"/>
          <w:color w:val="231F20"/>
          <w:sz w:val="24"/>
          <w:szCs w:val="24"/>
        </w:rPr>
        <w:t>), after the words, brackets and figure “allowed under sub-section (</w:t>
      </w:r>
      <w:r w:rsidRPr="00A42D81">
        <w:rPr>
          <w:rFonts w:ascii="Arial" w:hAnsi="Arial" w:cs="Arial"/>
          <w:i/>
          <w:iCs/>
          <w:color w:val="231F20"/>
          <w:sz w:val="24"/>
          <w:szCs w:val="24"/>
        </w:rPr>
        <w:t>1</w:t>
      </w:r>
      <w:r w:rsidRPr="00A42D81">
        <w:rPr>
          <w:rFonts w:ascii="Arial" w:hAnsi="Arial" w:cs="Arial"/>
          <w:color w:val="231F20"/>
          <w:sz w:val="24"/>
          <w:szCs w:val="24"/>
        </w:rPr>
        <w:t>)”, the</w:t>
      </w:r>
      <w:r>
        <w:rPr>
          <w:rFonts w:ascii="Arial" w:hAnsi="Arial" w:cs="Arial"/>
          <w:color w:val="231F20"/>
          <w:sz w:val="24"/>
          <w:szCs w:val="24"/>
        </w:rPr>
        <w:t xml:space="preserve"> </w:t>
      </w:r>
      <w:r w:rsidRPr="00A42D81">
        <w:rPr>
          <w:rFonts w:ascii="Arial" w:hAnsi="Arial" w:cs="Arial"/>
          <w:color w:val="231F20"/>
          <w:sz w:val="24"/>
          <w:szCs w:val="24"/>
        </w:rPr>
        <w:t>words, brackets, figure and letter “or sub-section (</w:t>
      </w:r>
      <w:r w:rsidRPr="00A42D81">
        <w:rPr>
          <w:rFonts w:ascii="Arial" w:hAnsi="Arial" w:cs="Arial"/>
          <w:i/>
          <w:iCs/>
          <w:color w:val="231F20"/>
          <w:sz w:val="24"/>
          <w:szCs w:val="24"/>
        </w:rPr>
        <w:t>1A</w:t>
      </w:r>
      <w:r w:rsidRPr="00A42D81">
        <w:rPr>
          <w:rFonts w:ascii="Arial" w:hAnsi="Arial" w:cs="Arial"/>
          <w:color w:val="231F20"/>
          <w:sz w:val="24"/>
          <w:szCs w:val="24"/>
        </w:rPr>
        <w:t>)” shall be inserted.</w:t>
      </w:r>
    </w:p>
    <w:p w:rsidR="00BD1C51" w:rsidRDefault="00BD1C51" w:rsidP="00A42D81">
      <w:pPr>
        <w:autoSpaceDE w:val="0"/>
        <w:autoSpaceDN w:val="0"/>
        <w:adjustRightInd w:val="0"/>
        <w:spacing w:after="0" w:line="240" w:lineRule="auto"/>
        <w:jc w:val="both"/>
        <w:rPr>
          <w:rFonts w:ascii="Arial" w:hAnsi="Arial" w:cs="Arial"/>
          <w:color w:val="231F20"/>
          <w:sz w:val="24"/>
          <w:szCs w:val="24"/>
        </w:rPr>
      </w:pPr>
    </w:p>
    <w:p w:rsidR="00BD1C51" w:rsidRDefault="00BD1C51" w:rsidP="00BD1C51">
      <w:pPr>
        <w:pBdr>
          <w:top w:val="single" w:sz="4" w:space="1" w:color="auto"/>
          <w:bottom w:val="single" w:sz="4" w:space="1" w:color="auto"/>
        </w:pBdr>
        <w:autoSpaceDE w:val="0"/>
        <w:autoSpaceDN w:val="0"/>
        <w:adjustRightInd w:val="0"/>
        <w:spacing w:after="0" w:line="240" w:lineRule="auto"/>
        <w:jc w:val="both"/>
        <w:rPr>
          <w:rFonts w:ascii="Arial" w:hAnsi="Arial" w:cs="Arial"/>
          <w:color w:val="231F20"/>
          <w:sz w:val="24"/>
          <w:szCs w:val="24"/>
        </w:rPr>
      </w:pPr>
      <w:r>
        <w:rPr>
          <w:rStyle w:val="Strong"/>
        </w:rPr>
        <w:t>Investment Allowance to a Manufacturing Company</w:t>
      </w:r>
    </w:p>
    <w:p w:rsidR="00BD1C51" w:rsidRDefault="00BD1C51" w:rsidP="00BD1C51">
      <w:pPr>
        <w:rPr>
          <w:rFonts w:ascii="Arial" w:hAnsi="Arial" w:cs="Arial"/>
          <w:sz w:val="24"/>
          <w:szCs w:val="24"/>
        </w:rPr>
      </w:pPr>
    </w:p>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 xml:space="preserve">In order to encourage the companies engaged in the business of manufacture or production of an article or thing to invest substantial amount in acquisition and installation of new plant and machinery, Finance Act, 2013 inserted section 32AC in the Act to provide that where an </w:t>
      </w:r>
      <w:proofErr w:type="spellStart"/>
      <w:r w:rsidRPr="00BD1C51">
        <w:rPr>
          <w:rFonts w:ascii="Arial" w:eastAsia="Times New Roman" w:hAnsi="Arial" w:cs="Arial"/>
          <w:sz w:val="24"/>
          <w:szCs w:val="24"/>
        </w:rPr>
        <w:t>assessee</w:t>
      </w:r>
      <w:proofErr w:type="spellEnd"/>
      <w:r w:rsidRPr="00BD1C51">
        <w:rPr>
          <w:rFonts w:ascii="Arial" w:eastAsia="Times New Roman" w:hAnsi="Arial" w:cs="Arial"/>
          <w:sz w:val="24"/>
          <w:szCs w:val="24"/>
        </w:rPr>
        <w:t xml:space="preserve">, being a company, is engaged in the business of manufacture of an article or thing and invests a sum of more than </w:t>
      </w:r>
      <w:r w:rsidRPr="00BD1C51">
        <w:rPr>
          <w:rFonts w:ascii="Calibri" w:eastAsia="Times New Roman" w:hAnsi="Calibri" w:cs="Arial"/>
          <w:sz w:val="24"/>
          <w:szCs w:val="24"/>
        </w:rPr>
        <w:t>₹</w:t>
      </w:r>
      <w:r w:rsidRPr="00BD1C51">
        <w:rPr>
          <w:rFonts w:ascii="Arial" w:eastAsia="Times New Roman" w:hAnsi="Arial" w:cs="Arial"/>
          <w:sz w:val="24"/>
          <w:szCs w:val="24"/>
        </w:rPr>
        <w:t xml:space="preserve"> 100 </w:t>
      </w:r>
      <w:proofErr w:type="spellStart"/>
      <w:r w:rsidRPr="00BD1C51">
        <w:rPr>
          <w:rFonts w:ascii="Arial" w:eastAsia="Times New Roman" w:hAnsi="Arial" w:cs="Arial"/>
          <w:sz w:val="24"/>
          <w:szCs w:val="24"/>
        </w:rPr>
        <w:t>crore</w:t>
      </w:r>
      <w:proofErr w:type="spellEnd"/>
      <w:r w:rsidRPr="00BD1C51">
        <w:rPr>
          <w:rFonts w:ascii="Arial" w:eastAsia="Times New Roman" w:hAnsi="Arial" w:cs="Arial"/>
          <w:sz w:val="24"/>
          <w:szCs w:val="24"/>
        </w:rPr>
        <w:t xml:space="preserve"> in new assets (plant and machinery) during the period beginning from 1st April, 2013 and ending on 31st March, 2015, then the </w:t>
      </w:r>
      <w:proofErr w:type="spellStart"/>
      <w:r w:rsidRPr="00BD1C51">
        <w:rPr>
          <w:rFonts w:ascii="Arial" w:eastAsia="Times New Roman" w:hAnsi="Arial" w:cs="Arial"/>
          <w:sz w:val="24"/>
          <w:szCs w:val="24"/>
        </w:rPr>
        <w:t>assessee</w:t>
      </w:r>
      <w:proofErr w:type="spellEnd"/>
      <w:r w:rsidRPr="00BD1C51">
        <w:rPr>
          <w:rFonts w:ascii="Arial" w:eastAsia="Times New Roman" w:hAnsi="Arial" w:cs="Arial"/>
          <w:sz w:val="24"/>
          <w:szCs w:val="24"/>
        </w:rPr>
        <w:t xml:space="preserve"> shall be allowed a deduction of 15% of cost of new assets for assessment years 2014-15 and 2015-16.</w:t>
      </w:r>
    </w:p>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 xml:space="preserve">     As growth of the manufacturing sector is crucial for employment generation and development of an economy, it is proposed to extend the deduction available under section 32AC of the Act for investment made in plant and machinery </w:t>
      </w:r>
      <w:r w:rsidRPr="00723248">
        <w:rPr>
          <w:rFonts w:ascii="Arial" w:eastAsia="Times New Roman" w:hAnsi="Arial" w:cs="Arial"/>
          <w:b/>
          <w:sz w:val="24"/>
          <w:szCs w:val="24"/>
        </w:rPr>
        <w:t>up to 31.03.2017</w:t>
      </w:r>
      <w:r w:rsidRPr="00BD1C51">
        <w:rPr>
          <w:rFonts w:ascii="Arial" w:eastAsia="Times New Roman" w:hAnsi="Arial" w:cs="Arial"/>
          <w:sz w:val="24"/>
          <w:szCs w:val="24"/>
        </w:rPr>
        <w:t xml:space="preserve">. Further, in order to simplify the existing provisions of section 32AC of the Act and also to make medium size investments in plant and machinery eligible for deduction, it is also proposed that the deduction under section 32AC of the Act shall be allowed if the company </w:t>
      </w:r>
      <w:r w:rsidRPr="00723248">
        <w:rPr>
          <w:rFonts w:ascii="Arial" w:eastAsia="Times New Roman" w:hAnsi="Arial" w:cs="Arial"/>
          <w:b/>
          <w:sz w:val="24"/>
          <w:szCs w:val="24"/>
        </w:rPr>
        <w:t xml:space="preserve">on or after 1st April, 2014 invests more than </w:t>
      </w:r>
      <w:r w:rsidRPr="00723248">
        <w:rPr>
          <w:rFonts w:ascii="Times New Roman" w:eastAsia="Times New Roman" w:hAnsi="Times New Roman" w:cs="Arial"/>
          <w:b/>
          <w:sz w:val="24"/>
          <w:szCs w:val="24"/>
        </w:rPr>
        <w:t>₹</w:t>
      </w:r>
      <w:r w:rsidRPr="00723248">
        <w:rPr>
          <w:rFonts w:ascii="Arial" w:eastAsia="Times New Roman" w:hAnsi="Arial" w:cs="Arial"/>
          <w:b/>
          <w:sz w:val="24"/>
          <w:szCs w:val="24"/>
        </w:rPr>
        <w:t xml:space="preserve"> 25 </w:t>
      </w:r>
      <w:proofErr w:type="spellStart"/>
      <w:r w:rsidRPr="00723248">
        <w:rPr>
          <w:rFonts w:ascii="Arial" w:eastAsia="Times New Roman" w:hAnsi="Arial" w:cs="Arial"/>
          <w:b/>
          <w:sz w:val="24"/>
          <w:szCs w:val="24"/>
        </w:rPr>
        <w:t>crore</w:t>
      </w:r>
      <w:proofErr w:type="spellEnd"/>
      <w:r w:rsidRPr="00723248">
        <w:rPr>
          <w:rFonts w:ascii="Arial" w:eastAsia="Times New Roman" w:hAnsi="Arial" w:cs="Arial"/>
          <w:b/>
          <w:sz w:val="24"/>
          <w:szCs w:val="24"/>
        </w:rPr>
        <w:t xml:space="preserve"> in plant and machinery in a previous year</w:t>
      </w:r>
      <w:r w:rsidRPr="00BD1C51">
        <w:rPr>
          <w:rFonts w:ascii="Arial" w:eastAsia="Times New Roman" w:hAnsi="Arial" w:cs="Arial"/>
          <w:sz w:val="24"/>
          <w:szCs w:val="24"/>
        </w:rPr>
        <w:t xml:space="preserve">. It is also proposed that the </w:t>
      </w:r>
      <w:proofErr w:type="spellStart"/>
      <w:r w:rsidRPr="00BD1C51">
        <w:rPr>
          <w:rFonts w:ascii="Arial" w:eastAsia="Times New Roman" w:hAnsi="Arial" w:cs="Arial"/>
          <w:sz w:val="24"/>
          <w:szCs w:val="24"/>
        </w:rPr>
        <w:t>assessee</w:t>
      </w:r>
      <w:proofErr w:type="spellEnd"/>
      <w:r w:rsidRPr="00BD1C51">
        <w:rPr>
          <w:rFonts w:ascii="Arial" w:eastAsia="Times New Roman" w:hAnsi="Arial" w:cs="Arial"/>
          <w:sz w:val="24"/>
          <w:szCs w:val="24"/>
        </w:rPr>
        <w:t xml:space="preserve"> who is eligible to claim deduction under the existing combined threshold limit of </w:t>
      </w:r>
      <w:r w:rsidRPr="00BD1C51">
        <w:rPr>
          <w:rFonts w:ascii="Times New Roman" w:eastAsia="Times New Roman" w:hAnsi="Times New Roman" w:cs="Arial"/>
          <w:sz w:val="24"/>
          <w:szCs w:val="24"/>
        </w:rPr>
        <w:t>₹</w:t>
      </w:r>
      <w:r w:rsidRPr="00BD1C51">
        <w:rPr>
          <w:rFonts w:ascii="Arial" w:eastAsia="Times New Roman" w:hAnsi="Arial" w:cs="Arial"/>
          <w:sz w:val="24"/>
          <w:szCs w:val="24"/>
        </w:rPr>
        <w:t xml:space="preserve"> 100 </w:t>
      </w:r>
      <w:proofErr w:type="spellStart"/>
      <w:r w:rsidRPr="00BD1C51">
        <w:rPr>
          <w:rFonts w:ascii="Arial" w:eastAsia="Times New Roman" w:hAnsi="Arial" w:cs="Arial"/>
          <w:sz w:val="24"/>
          <w:szCs w:val="24"/>
        </w:rPr>
        <w:t>crore</w:t>
      </w:r>
      <w:proofErr w:type="spellEnd"/>
      <w:r w:rsidRPr="00BD1C51">
        <w:rPr>
          <w:rFonts w:ascii="Arial" w:eastAsia="Times New Roman" w:hAnsi="Arial" w:cs="Arial"/>
          <w:sz w:val="24"/>
          <w:szCs w:val="24"/>
        </w:rPr>
        <w:t xml:space="preserve"> for investment made in previous years 2013-14 and 2014-15 shall continue to be eligible to claim deduction under the existing provisions contained in sub-section (1) of section 32AC even if its investment in the year 2014-15 is below the proposed new threshold limit of investment of </w:t>
      </w:r>
      <w:r w:rsidRPr="00BD1C51">
        <w:rPr>
          <w:rFonts w:ascii="Times New Roman" w:eastAsia="Times New Roman" w:hAnsi="Times New Roman" w:cs="Arial"/>
          <w:sz w:val="24"/>
          <w:szCs w:val="24"/>
        </w:rPr>
        <w:t>₹</w:t>
      </w:r>
      <w:r w:rsidRPr="00BD1C51">
        <w:rPr>
          <w:rFonts w:ascii="Arial" w:eastAsia="Times New Roman" w:hAnsi="Arial" w:cs="Arial"/>
          <w:sz w:val="24"/>
          <w:szCs w:val="24"/>
        </w:rPr>
        <w:t xml:space="preserve"> 25 </w:t>
      </w:r>
      <w:proofErr w:type="spellStart"/>
      <w:r w:rsidRPr="00BD1C51">
        <w:rPr>
          <w:rFonts w:ascii="Arial" w:eastAsia="Times New Roman" w:hAnsi="Arial" w:cs="Arial"/>
          <w:sz w:val="24"/>
          <w:szCs w:val="24"/>
        </w:rPr>
        <w:t>crore</w:t>
      </w:r>
      <w:proofErr w:type="spellEnd"/>
      <w:r w:rsidRPr="00BD1C51">
        <w:rPr>
          <w:rFonts w:ascii="Arial" w:eastAsia="Times New Roman" w:hAnsi="Arial" w:cs="Arial"/>
          <w:sz w:val="24"/>
          <w:szCs w:val="24"/>
        </w:rPr>
        <w:t xml:space="preserve"> during the previous year.</w:t>
      </w:r>
    </w:p>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lastRenderedPageBreak/>
        <w:t>     The deduction allowable under this section after the proposed amendment in different scenario of investment is given by way of illustration in the following table:</w:t>
      </w:r>
    </w:p>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 xml:space="preserve">(Rs. in </w:t>
      </w:r>
      <w:proofErr w:type="spellStart"/>
      <w:r w:rsidRPr="00BD1C51">
        <w:rPr>
          <w:rFonts w:ascii="Arial" w:eastAsia="Times New Roman" w:hAnsi="Arial" w:cs="Arial"/>
          <w:sz w:val="24"/>
          <w:szCs w:val="24"/>
        </w:rPr>
        <w:t>crore</w:t>
      </w:r>
      <w:proofErr w:type="spellEnd"/>
      <w:r w:rsidRPr="00BD1C51">
        <w:rPr>
          <w:rFonts w:ascii="Arial" w:eastAsia="Times New Roman" w:hAnsi="Arial" w:cs="Arial"/>
          <w:sz w:val="24"/>
          <w:szCs w:val="24"/>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17"/>
        <w:gridCol w:w="2006"/>
        <w:gridCol w:w="826"/>
        <w:gridCol w:w="826"/>
        <w:gridCol w:w="826"/>
        <w:gridCol w:w="826"/>
        <w:gridCol w:w="3663"/>
      </w:tblGrid>
      <w:tr w:rsidR="00BD1C51" w:rsidRPr="00BD1C51" w:rsidTr="00BD1C51">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Sl.</w:t>
            </w:r>
          </w:p>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Particulars</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P.Y.</w:t>
            </w:r>
          </w:p>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2013-14</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P.Y.</w:t>
            </w:r>
          </w:p>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2014-15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P.Y.</w:t>
            </w:r>
          </w:p>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2015-16</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P.Y.</w:t>
            </w:r>
          </w:p>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2016-17</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b/>
                <w:bCs/>
                <w:sz w:val="24"/>
                <w:szCs w:val="24"/>
              </w:rPr>
              <w:t>Remarks</w:t>
            </w:r>
          </w:p>
        </w:tc>
      </w:tr>
      <w:tr w:rsidR="00BD1C51" w:rsidRPr="00BD1C51" w:rsidTr="00BD1C51">
        <w:trPr>
          <w:trHeight w:val="142"/>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Amount of investment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Under the existing section 32AC(1)</w:t>
            </w:r>
          </w:p>
        </w:tc>
      </w:tr>
      <w:tr w:rsidR="00BD1C51" w:rsidRPr="00BD1C51" w:rsidTr="00BD1C51">
        <w:trPr>
          <w:trHeight w:val="142"/>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Deduction allowable</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Nil</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16.5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r>
      <w:tr w:rsidR="00BD1C51" w:rsidRPr="00BD1C51" w:rsidTr="00BD1C51">
        <w:trPr>
          <w:trHeight w:val="174"/>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Amount of investment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Under the proposed section 32AC(1A)</w:t>
            </w:r>
          </w:p>
        </w:tc>
      </w:tr>
      <w:tr w:rsidR="00BD1C51" w:rsidRPr="00BD1C51" w:rsidTr="00BD1C51">
        <w:trPr>
          <w:trHeight w:val="95"/>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95" w:lineRule="atLeast"/>
              <w:jc w:val="both"/>
              <w:rPr>
                <w:rFonts w:ascii="Arial" w:eastAsia="Times New Roman" w:hAnsi="Arial" w:cs="Arial"/>
                <w:sz w:val="24"/>
                <w:szCs w:val="24"/>
              </w:rPr>
            </w:pPr>
            <w:r w:rsidRPr="00BD1C51">
              <w:rPr>
                <w:rFonts w:ascii="Arial" w:eastAsia="Times New Roman" w:hAnsi="Arial" w:cs="Arial"/>
                <w:sz w:val="24"/>
                <w:szCs w:val="24"/>
              </w:rPr>
              <w:t>Deduction allowable</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95" w:lineRule="atLeast"/>
              <w:jc w:val="both"/>
              <w:rPr>
                <w:rFonts w:ascii="Arial" w:eastAsia="Times New Roman" w:hAnsi="Arial" w:cs="Arial"/>
                <w:sz w:val="24"/>
                <w:szCs w:val="24"/>
              </w:rPr>
            </w:pPr>
            <w:r w:rsidRPr="00BD1C51">
              <w:rPr>
                <w:rFonts w:ascii="Arial" w:eastAsia="Times New Roman" w:hAnsi="Arial" w:cs="Arial"/>
                <w:sz w:val="24"/>
                <w:szCs w:val="24"/>
              </w:rPr>
              <w:t>Nil</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95" w:lineRule="atLeast"/>
              <w:jc w:val="both"/>
              <w:rPr>
                <w:rFonts w:ascii="Arial" w:eastAsia="Times New Roman" w:hAnsi="Arial" w:cs="Arial"/>
                <w:sz w:val="24"/>
                <w:szCs w:val="24"/>
              </w:rPr>
            </w:pPr>
            <w:r w:rsidRPr="00BD1C51">
              <w:rPr>
                <w:rFonts w:ascii="Arial" w:eastAsia="Times New Roman" w:hAnsi="Arial"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95"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95"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r>
      <w:tr w:rsidR="00BD1C51" w:rsidRPr="00BD1C51" w:rsidTr="00BD1C51">
        <w:trPr>
          <w:trHeight w:val="174"/>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Amount of investment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74" w:lineRule="atLeast"/>
              <w:jc w:val="both"/>
              <w:rPr>
                <w:rFonts w:ascii="Arial" w:eastAsia="Times New Roman" w:hAnsi="Arial" w:cs="Arial"/>
                <w:sz w:val="24"/>
                <w:szCs w:val="24"/>
              </w:rPr>
            </w:pPr>
            <w:r w:rsidRPr="00BD1C51">
              <w:rPr>
                <w:rFonts w:ascii="Arial" w:eastAsia="Times New Roman" w:hAnsi="Arial" w:cs="Arial"/>
                <w:sz w:val="24"/>
                <w:szCs w:val="24"/>
              </w:rPr>
              <w:t>Under the existing section 32AC(1)</w:t>
            </w:r>
          </w:p>
        </w:tc>
      </w:tr>
      <w:tr w:rsidR="00BD1C51" w:rsidRPr="00BD1C51" w:rsidTr="00BD1C51">
        <w:trPr>
          <w:trHeight w:val="111"/>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11" w:lineRule="atLeast"/>
              <w:jc w:val="both"/>
              <w:rPr>
                <w:rFonts w:ascii="Arial" w:eastAsia="Times New Roman" w:hAnsi="Arial" w:cs="Arial"/>
                <w:sz w:val="24"/>
                <w:szCs w:val="24"/>
              </w:rPr>
            </w:pPr>
            <w:r w:rsidRPr="00BD1C51">
              <w:rPr>
                <w:rFonts w:ascii="Arial" w:eastAsia="Times New Roman" w:hAnsi="Arial" w:cs="Arial"/>
                <w:sz w:val="24"/>
                <w:szCs w:val="24"/>
              </w:rPr>
              <w:t>Deduction allowable</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11" w:lineRule="atLeast"/>
              <w:jc w:val="both"/>
              <w:rPr>
                <w:rFonts w:ascii="Arial" w:eastAsia="Times New Roman" w:hAnsi="Arial" w:cs="Arial"/>
                <w:sz w:val="24"/>
                <w:szCs w:val="24"/>
              </w:rPr>
            </w:pPr>
            <w:r w:rsidRPr="00BD1C51">
              <w:rPr>
                <w:rFonts w:ascii="Arial" w:eastAsia="Times New Roman" w:hAnsi="Arial" w:cs="Arial"/>
                <w:sz w:val="24"/>
                <w:szCs w:val="24"/>
              </w:rPr>
              <w:t>22.5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11" w:lineRule="atLeast"/>
              <w:jc w:val="both"/>
              <w:rPr>
                <w:rFonts w:ascii="Arial" w:eastAsia="Times New Roman" w:hAnsi="Arial" w:cs="Arial"/>
                <w:sz w:val="24"/>
                <w:szCs w:val="24"/>
              </w:rPr>
            </w:pPr>
            <w:r w:rsidRPr="00BD1C51">
              <w:rPr>
                <w:rFonts w:ascii="Arial" w:eastAsia="Times New Roman" w:hAnsi="Arial" w:cs="Arial"/>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11"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11"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r>
      <w:tr w:rsidR="00BD1C51" w:rsidRPr="00BD1C51" w:rsidTr="00BD1C51">
        <w:trPr>
          <w:trHeight w:val="142"/>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Amount of investment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No deduction either u/s 32AC(1) or 32AC(1A)</w:t>
            </w:r>
          </w:p>
        </w:tc>
      </w:tr>
      <w:tr w:rsidR="00BD1C51" w:rsidRPr="00BD1C51" w:rsidTr="00BD1C51">
        <w:trPr>
          <w:trHeight w:val="142"/>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Deduction allowable</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Nil</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proofErr w:type="spellStart"/>
            <w:r w:rsidRPr="00BD1C51">
              <w:rPr>
                <w:rFonts w:ascii="Arial" w:eastAsia="Times New Roman" w:hAnsi="Arial" w:cs="Arial"/>
                <w:sz w:val="24"/>
                <w:szCs w:val="24"/>
              </w:rPr>
              <w:t>NIl</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r>
      <w:tr w:rsidR="00BD1C51" w:rsidRPr="00BD1C51" w:rsidTr="00BD1C51">
        <w:trPr>
          <w:trHeight w:val="127"/>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27" w:lineRule="atLeast"/>
              <w:jc w:val="both"/>
              <w:rPr>
                <w:rFonts w:ascii="Arial" w:eastAsia="Times New Roman" w:hAnsi="Arial" w:cs="Arial"/>
                <w:sz w:val="24"/>
                <w:szCs w:val="24"/>
              </w:rPr>
            </w:pPr>
            <w:r w:rsidRPr="00BD1C51">
              <w:rPr>
                <w:rFonts w:ascii="Arial" w:eastAsia="Times New Roman" w:hAnsi="Arial" w:cs="Arial"/>
                <w:sz w:val="24"/>
                <w:szCs w:val="24"/>
              </w:rPr>
              <w:t>Amount of investment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27" w:lineRule="atLeast"/>
              <w:jc w:val="both"/>
              <w:rPr>
                <w:rFonts w:ascii="Arial" w:eastAsia="Times New Roman" w:hAnsi="Arial" w:cs="Arial"/>
                <w:sz w:val="24"/>
                <w:szCs w:val="24"/>
              </w:rPr>
            </w:pPr>
            <w:r w:rsidRPr="00BD1C51">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27" w:lineRule="atLeast"/>
              <w:jc w:val="both"/>
              <w:rPr>
                <w:rFonts w:ascii="Arial" w:eastAsia="Times New Roman" w:hAnsi="Arial" w:cs="Arial"/>
                <w:sz w:val="24"/>
                <w:szCs w:val="24"/>
              </w:rPr>
            </w:pPr>
            <w:r w:rsidRPr="00BD1C51">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27" w:lineRule="atLeast"/>
              <w:jc w:val="both"/>
              <w:rPr>
                <w:rFonts w:ascii="Arial" w:eastAsia="Times New Roman" w:hAnsi="Arial" w:cs="Arial"/>
                <w:sz w:val="24"/>
                <w:szCs w:val="24"/>
              </w:rPr>
            </w:pPr>
            <w:r w:rsidRPr="00BD1C51">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27" w:lineRule="atLeast"/>
              <w:jc w:val="both"/>
              <w:rPr>
                <w:rFonts w:ascii="Arial" w:eastAsia="Times New Roman" w:hAnsi="Arial" w:cs="Arial"/>
                <w:sz w:val="24"/>
                <w:szCs w:val="24"/>
              </w:rPr>
            </w:pPr>
            <w:r w:rsidRPr="00BD1C51">
              <w:rPr>
                <w:rFonts w:ascii="Arial" w:eastAsia="Times New Roman" w:hAnsi="Arial" w:cs="Arial"/>
                <w:sz w:val="24"/>
                <w:szCs w:val="24"/>
              </w:rPr>
              <w:t>40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27" w:lineRule="atLeast"/>
              <w:jc w:val="both"/>
              <w:rPr>
                <w:rFonts w:ascii="Arial" w:eastAsia="Times New Roman" w:hAnsi="Arial" w:cs="Arial"/>
                <w:sz w:val="24"/>
                <w:szCs w:val="24"/>
              </w:rPr>
            </w:pPr>
            <w:r w:rsidRPr="00BD1C51">
              <w:rPr>
                <w:rFonts w:ascii="Arial" w:eastAsia="Times New Roman" w:hAnsi="Arial" w:cs="Arial"/>
                <w:sz w:val="24"/>
                <w:szCs w:val="24"/>
              </w:rPr>
              <w:t>Under the proposed section 32AC(1A)</w:t>
            </w:r>
          </w:p>
        </w:tc>
      </w:tr>
      <w:tr w:rsidR="00BD1C51" w:rsidRPr="00BD1C51" w:rsidTr="00BD1C51">
        <w:trPr>
          <w:trHeight w:val="158"/>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Deduction allowable</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Nil</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6</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r>
      <w:tr w:rsidR="00BD1C51" w:rsidRPr="00BD1C51" w:rsidTr="00BD1C51">
        <w:trPr>
          <w:trHeight w:val="142"/>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Amount of investment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20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42" w:lineRule="atLeast"/>
              <w:jc w:val="both"/>
              <w:rPr>
                <w:rFonts w:ascii="Arial" w:eastAsia="Times New Roman" w:hAnsi="Arial" w:cs="Arial"/>
                <w:sz w:val="24"/>
                <w:szCs w:val="24"/>
              </w:rPr>
            </w:pPr>
            <w:r w:rsidRPr="00BD1C51">
              <w:rPr>
                <w:rFonts w:ascii="Arial" w:eastAsia="Times New Roman" w:hAnsi="Arial" w:cs="Arial"/>
                <w:sz w:val="24"/>
                <w:szCs w:val="24"/>
              </w:rPr>
              <w:t>Deduction both u/s 32AC(1) &amp; 32AC(1A)</w:t>
            </w:r>
          </w:p>
        </w:tc>
      </w:tr>
      <w:tr w:rsidR="00BD1C51" w:rsidRPr="00BD1C51" w:rsidTr="00BD1C51">
        <w:trPr>
          <w:trHeight w:val="158"/>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Deduction allowable</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22.5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before="100" w:beforeAutospacing="1" w:after="100" w:afterAutospacing="1" w:line="158" w:lineRule="atLeast"/>
              <w:jc w:val="both"/>
              <w:rPr>
                <w:rFonts w:ascii="Arial" w:eastAsia="Times New Roman" w:hAnsi="Arial" w:cs="Arial"/>
                <w:sz w:val="24"/>
                <w:szCs w:val="24"/>
              </w:rPr>
            </w:pPr>
            <w:r w:rsidRPr="00BD1C51">
              <w:rPr>
                <w:rFonts w:ascii="Arial" w:eastAsia="Times New Roman" w:hAnsi="Arial" w:cs="Arial"/>
                <w:sz w:val="24"/>
                <w:szCs w:val="24"/>
              </w:rPr>
              <w:t>Nil</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D1C51" w:rsidRPr="00BD1C51" w:rsidRDefault="00BD1C51" w:rsidP="00BD1C51">
            <w:pPr>
              <w:spacing w:after="0" w:line="240" w:lineRule="auto"/>
              <w:jc w:val="both"/>
              <w:rPr>
                <w:rFonts w:ascii="Arial" w:eastAsia="Times New Roman" w:hAnsi="Arial" w:cs="Arial"/>
                <w:sz w:val="24"/>
                <w:szCs w:val="24"/>
              </w:rPr>
            </w:pPr>
          </w:p>
        </w:tc>
      </w:tr>
    </w:tbl>
    <w:p w:rsidR="00BD1C51" w:rsidRPr="00BD1C51" w:rsidRDefault="00BD1C51" w:rsidP="00BD1C51">
      <w:pPr>
        <w:spacing w:before="100" w:beforeAutospacing="1" w:after="100" w:afterAutospacing="1" w:line="240" w:lineRule="auto"/>
        <w:jc w:val="both"/>
        <w:rPr>
          <w:rFonts w:ascii="Arial" w:eastAsia="Times New Roman" w:hAnsi="Arial" w:cs="Arial"/>
          <w:sz w:val="24"/>
          <w:szCs w:val="24"/>
        </w:rPr>
      </w:pPr>
      <w:r w:rsidRPr="00BD1C51">
        <w:rPr>
          <w:rFonts w:ascii="Arial" w:eastAsia="Times New Roman" w:hAnsi="Arial" w:cs="Arial"/>
          <w:sz w:val="24"/>
          <w:szCs w:val="24"/>
        </w:rPr>
        <w:t>     These amendments will take effect from 1st April, 2015 and will, accordingly, apply in relation to the assessment year 2015-16 and subsequent years.</w:t>
      </w:r>
    </w:p>
    <w:p w:rsidR="00BD1C51" w:rsidRPr="00BD1C51" w:rsidRDefault="00BD1C51" w:rsidP="00BD1C51">
      <w:pPr>
        <w:pBdr>
          <w:bottom w:val="single" w:sz="4" w:space="1" w:color="auto"/>
        </w:pBdr>
        <w:rPr>
          <w:rFonts w:ascii="Arial" w:hAnsi="Arial" w:cs="Arial"/>
          <w:sz w:val="24"/>
          <w:szCs w:val="24"/>
        </w:rPr>
      </w:pPr>
    </w:p>
    <w:sectPr w:rsidR="00BD1C51" w:rsidRPr="00BD1C51"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A42D81"/>
    <w:rsid w:val="001A3301"/>
    <w:rsid w:val="005015BD"/>
    <w:rsid w:val="00723248"/>
    <w:rsid w:val="00A42D81"/>
    <w:rsid w:val="00BD1C51"/>
    <w:rsid w:val="00FC2A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1C51"/>
    <w:rPr>
      <w:b/>
      <w:bCs/>
    </w:rPr>
  </w:style>
  <w:style w:type="paragraph" w:styleId="NormalWeb">
    <w:name w:val="Normal (Web)"/>
    <w:basedOn w:val="Normal"/>
    <w:uiPriority w:val="99"/>
    <w:unhideWhenUsed/>
    <w:rsid w:val="00BD1C5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889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600</Words>
  <Characters>3420</Characters>
  <Application>Microsoft Office Word</Application>
  <DocSecurity>0</DocSecurity>
  <Lines>28</Lines>
  <Paragraphs>8</Paragraphs>
  <ScaleCrop>false</ScaleCrop>
  <Company/>
  <LinksUpToDate>false</LinksUpToDate>
  <CharactersWithSpaces>4012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3</cp:revision>
  <dcterms:created xsi:type="dcterms:W3CDTF">2014-07-16T06:46:00Z</dcterms:created>
  <dcterms:modified xsi:type="dcterms:W3CDTF">2014-07-16T17:58:00Z</dcterms:modified>
</cp:coreProperties>
</file>